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1257" w14:textId="77777777" w:rsidR="00994351" w:rsidRPr="00761693" w:rsidRDefault="00994351">
      <w:pPr>
        <w:rPr>
          <w:rFonts w:eastAsiaTheme="minorEastAsia"/>
          <w:b/>
          <w:u w:val="single"/>
          <w:lang w:val="en-SG" w:eastAsia="zh-CN"/>
        </w:rPr>
      </w:pPr>
    </w:p>
    <w:p w14:paraId="1AF3771D" w14:textId="77777777" w:rsidR="00994351" w:rsidRPr="00761693" w:rsidRDefault="00994351">
      <w:pPr>
        <w:rPr>
          <w:b/>
          <w:u w:val="single"/>
          <w:lang w:val="en-SG"/>
        </w:rPr>
      </w:pPr>
    </w:p>
    <w:p w14:paraId="092D4F68" w14:textId="421E3BB8" w:rsidR="00406B1A" w:rsidRPr="00761693" w:rsidRDefault="0035052C">
      <w:pPr>
        <w:rPr>
          <w:b/>
          <w:u w:val="single"/>
          <w:lang w:val="en-SG"/>
        </w:rPr>
      </w:pPr>
      <w:r w:rsidRPr="00761693">
        <w:rPr>
          <w:b/>
          <w:u w:val="single"/>
          <w:lang w:val="en-SG"/>
        </w:rPr>
        <w:t>Invitation to bid for the 1</w:t>
      </w:r>
      <w:r w:rsidR="00616693">
        <w:rPr>
          <w:b/>
          <w:u w:val="single"/>
          <w:lang w:val="en-SG"/>
        </w:rPr>
        <w:t>7</w:t>
      </w:r>
      <w:r w:rsidR="004C3E9D" w:rsidRPr="00761693">
        <w:rPr>
          <w:b/>
          <w:u w:val="single"/>
          <w:lang w:val="en-SG"/>
        </w:rPr>
        <w:t>th Asia</w:t>
      </w:r>
      <w:r w:rsidRPr="00761693">
        <w:rPr>
          <w:b/>
          <w:u w:val="single"/>
          <w:lang w:val="en-SG"/>
        </w:rPr>
        <w:t xml:space="preserve"> Pacific Hospice</w:t>
      </w:r>
      <w:r w:rsidR="00B55E23">
        <w:rPr>
          <w:b/>
          <w:u w:val="single"/>
          <w:lang w:val="en-SG"/>
        </w:rPr>
        <w:t xml:space="preserve"> </w:t>
      </w:r>
      <w:r w:rsidR="00B55E23" w:rsidRPr="00B55E23">
        <w:rPr>
          <w:b/>
          <w:u w:val="single"/>
          <w:lang w:val="en-SG"/>
        </w:rPr>
        <w:t>Palliative Care</w:t>
      </w:r>
      <w:r w:rsidRPr="00761693">
        <w:rPr>
          <w:b/>
          <w:u w:val="single"/>
          <w:lang w:val="en-SG"/>
        </w:rPr>
        <w:t xml:space="preserve"> Conference 202</w:t>
      </w:r>
      <w:r w:rsidR="00616693">
        <w:rPr>
          <w:b/>
          <w:u w:val="single"/>
          <w:lang w:val="en-SG"/>
        </w:rPr>
        <w:t>7</w:t>
      </w:r>
    </w:p>
    <w:p w14:paraId="2A4C0147" w14:textId="77777777" w:rsidR="004C3E9D" w:rsidRPr="00761693" w:rsidRDefault="004C3E9D">
      <w:pPr>
        <w:rPr>
          <w:lang w:val="en-SG"/>
        </w:rPr>
      </w:pPr>
    </w:p>
    <w:p w14:paraId="550BFB6C" w14:textId="06D6B2AB" w:rsidR="003715BD" w:rsidRPr="00761693" w:rsidRDefault="003715BD" w:rsidP="009835F8">
      <w:pPr>
        <w:jc w:val="both"/>
        <w:rPr>
          <w:lang w:val="en-SG"/>
        </w:rPr>
      </w:pPr>
      <w:r w:rsidRPr="00761693">
        <w:rPr>
          <w:lang w:val="en-SG"/>
        </w:rPr>
        <w:t xml:space="preserve">The </w:t>
      </w:r>
      <w:r w:rsidR="00863484" w:rsidRPr="00761693">
        <w:rPr>
          <w:lang w:val="en-SG"/>
        </w:rPr>
        <w:t>Asia Pacific Hospice</w:t>
      </w:r>
      <w:r w:rsidR="00B55E23">
        <w:rPr>
          <w:lang w:val="en-SG"/>
        </w:rPr>
        <w:t xml:space="preserve"> Palliative Care</w:t>
      </w:r>
      <w:r w:rsidR="00863484" w:rsidRPr="00761693">
        <w:rPr>
          <w:lang w:val="en-SG"/>
        </w:rPr>
        <w:t xml:space="preserve"> Conference (APHC) is held biennially </w:t>
      </w:r>
      <w:r w:rsidR="00EF7735" w:rsidRPr="00761693">
        <w:rPr>
          <w:lang w:val="en-SG"/>
        </w:rPr>
        <w:t>by</w:t>
      </w:r>
      <w:r w:rsidR="00C650F2" w:rsidRPr="00761693">
        <w:rPr>
          <w:lang w:val="en-SG"/>
        </w:rPr>
        <w:t xml:space="preserve"> the</w:t>
      </w:r>
      <w:r w:rsidR="00EF7735" w:rsidRPr="00761693">
        <w:rPr>
          <w:lang w:val="en-SG"/>
        </w:rPr>
        <w:t xml:space="preserve"> Asia Pacific Hospice Palliative Care Network (APHN). </w:t>
      </w:r>
      <w:r w:rsidR="00A835B3" w:rsidRPr="00761693">
        <w:rPr>
          <w:lang w:val="en-SG"/>
        </w:rPr>
        <w:t xml:space="preserve">This document serves as notice to invite member organisations </w:t>
      </w:r>
      <w:r w:rsidR="004A6E1A" w:rsidRPr="00761693">
        <w:rPr>
          <w:lang w:val="en-SG"/>
        </w:rPr>
        <w:t>who wish to host the 1</w:t>
      </w:r>
      <w:r w:rsidR="00616693">
        <w:rPr>
          <w:lang w:val="en-SG"/>
        </w:rPr>
        <w:t>7</w:t>
      </w:r>
      <w:r w:rsidR="004A6E1A" w:rsidRPr="00761693">
        <w:rPr>
          <w:vertAlign w:val="superscript"/>
          <w:lang w:val="en-SG"/>
        </w:rPr>
        <w:t>th</w:t>
      </w:r>
      <w:r w:rsidR="004A6E1A" w:rsidRPr="00761693">
        <w:rPr>
          <w:lang w:val="en-SG"/>
        </w:rPr>
        <w:t xml:space="preserve"> APHC that will be held in 202</w:t>
      </w:r>
      <w:r w:rsidR="00616693">
        <w:rPr>
          <w:lang w:val="en-SG"/>
        </w:rPr>
        <w:t>7</w:t>
      </w:r>
      <w:r w:rsidR="004A6E1A" w:rsidRPr="00761693">
        <w:rPr>
          <w:lang w:val="en-SG"/>
        </w:rPr>
        <w:t>.</w:t>
      </w:r>
    </w:p>
    <w:p w14:paraId="0BA78F77" w14:textId="3637782F" w:rsidR="00863484" w:rsidRPr="00761693" w:rsidRDefault="00863484" w:rsidP="009835F8">
      <w:pPr>
        <w:jc w:val="both"/>
        <w:rPr>
          <w:lang w:val="en-SG"/>
        </w:rPr>
      </w:pPr>
    </w:p>
    <w:p w14:paraId="3A57AF97" w14:textId="4E1A1026" w:rsidR="004A6E1A" w:rsidRPr="00761693" w:rsidRDefault="004A6E1A">
      <w:pPr>
        <w:rPr>
          <w:u w:val="single"/>
          <w:lang w:val="en-SG"/>
        </w:rPr>
      </w:pPr>
      <w:r w:rsidRPr="00761693">
        <w:rPr>
          <w:u w:val="single"/>
          <w:lang w:val="en-SG"/>
        </w:rPr>
        <w:t>Bidding Process and Requirements</w:t>
      </w:r>
    </w:p>
    <w:p w14:paraId="572C7798" w14:textId="6B85E00D" w:rsidR="004A6E1A" w:rsidRPr="00761693" w:rsidRDefault="004A6E1A">
      <w:pPr>
        <w:rPr>
          <w:lang w:val="en-SG"/>
        </w:rPr>
      </w:pPr>
    </w:p>
    <w:p w14:paraId="7E718FD9" w14:textId="02FBFD01" w:rsidR="005C107D" w:rsidRPr="00761693" w:rsidRDefault="004A6E1A">
      <w:pPr>
        <w:rPr>
          <w:lang w:val="en-SG"/>
        </w:rPr>
      </w:pPr>
      <w:r w:rsidRPr="00761693">
        <w:rPr>
          <w:lang w:val="en-SG"/>
        </w:rPr>
        <w:t xml:space="preserve">Only bids submitted by organisational members of APHN with membership valid till time of conference </w:t>
      </w:r>
      <w:r w:rsidR="005C107D" w:rsidRPr="00761693">
        <w:rPr>
          <w:lang w:val="en-SG"/>
        </w:rPr>
        <w:t>will be accepted. The bidding application consists of the following documents:</w:t>
      </w:r>
    </w:p>
    <w:p w14:paraId="1825BE7F" w14:textId="7B09CB47" w:rsidR="005C107D" w:rsidRPr="00761693" w:rsidRDefault="005C107D">
      <w:pPr>
        <w:rPr>
          <w:lang w:val="en-SG"/>
        </w:rPr>
      </w:pPr>
    </w:p>
    <w:p w14:paraId="41C85C07" w14:textId="1D600288" w:rsidR="005C107D" w:rsidRPr="00761693" w:rsidRDefault="00456B3F" w:rsidP="00456B3F">
      <w:pPr>
        <w:pStyle w:val="ListParagraph"/>
        <w:numPr>
          <w:ilvl w:val="0"/>
          <w:numId w:val="13"/>
        </w:numPr>
        <w:rPr>
          <w:lang w:val="en-SG"/>
        </w:rPr>
      </w:pPr>
      <w:r w:rsidRPr="00761693">
        <w:rPr>
          <w:lang w:val="en-SG"/>
        </w:rPr>
        <w:t xml:space="preserve">Bidding </w:t>
      </w:r>
      <w:r w:rsidR="007456AE" w:rsidRPr="00761693">
        <w:rPr>
          <w:lang w:val="en-SG"/>
        </w:rPr>
        <w:t xml:space="preserve">Application </w:t>
      </w:r>
      <w:r w:rsidRPr="00761693">
        <w:rPr>
          <w:lang w:val="en-SG"/>
        </w:rPr>
        <w:t>Form (Word document)</w:t>
      </w:r>
    </w:p>
    <w:p w14:paraId="72F93656" w14:textId="572A0B8E" w:rsidR="00456B3F" w:rsidRPr="00761693" w:rsidRDefault="00456B3F" w:rsidP="00456B3F">
      <w:pPr>
        <w:pStyle w:val="ListParagraph"/>
        <w:numPr>
          <w:ilvl w:val="0"/>
          <w:numId w:val="13"/>
        </w:numPr>
        <w:rPr>
          <w:lang w:val="en-SG"/>
        </w:rPr>
      </w:pPr>
      <w:r w:rsidRPr="00761693">
        <w:rPr>
          <w:lang w:val="en-SG"/>
        </w:rPr>
        <w:t>Budget Template (Excel spreadsheet)</w:t>
      </w:r>
    </w:p>
    <w:p w14:paraId="0B8A7D97" w14:textId="77777777" w:rsidR="005C107D" w:rsidRPr="00761693" w:rsidRDefault="005C107D">
      <w:pPr>
        <w:rPr>
          <w:lang w:val="en-SG"/>
        </w:rPr>
      </w:pPr>
    </w:p>
    <w:p w14:paraId="09F150FB" w14:textId="79EF0BB8" w:rsidR="004A6E1A" w:rsidRPr="00761693" w:rsidRDefault="00456B3F" w:rsidP="004801E1">
      <w:pPr>
        <w:rPr>
          <w:lang w:val="en-SG"/>
        </w:rPr>
      </w:pPr>
      <w:r w:rsidRPr="00761693">
        <w:rPr>
          <w:lang w:val="en-SG"/>
        </w:rPr>
        <w:t>The bidding documents must</w:t>
      </w:r>
      <w:r w:rsidR="004801E1" w:rsidRPr="00761693">
        <w:rPr>
          <w:lang w:val="en-SG"/>
        </w:rPr>
        <w:t xml:space="preserve"> be fully completed and </w:t>
      </w:r>
      <w:r w:rsidR="005C107D" w:rsidRPr="00761693">
        <w:rPr>
          <w:lang w:val="en-SG"/>
        </w:rPr>
        <w:t xml:space="preserve">submitted to the APHN Secretariat </w:t>
      </w:r>
      <w:r w:rsidR="00F878D8" w:rsidRPr="00761693">
        <w:rPr>
          <w:lang w:val="en-SG"/>
        </w:rPr>
        <w:t xml:space="preserve">(email to </w:t>
      </w:r>
      <w:hyperlink r:id="rId8" w:history="1">
        <w:r w:rsidR="00F878D8" w:rsidRPr="00761693">
          <w:rPr>
            <w:rStyle w:val="Hyperlink"/>
            <w:lang w:val="en-SG"/>
          </w:rPr>
          <w:t>secretariat@aphn.org</w:t>
        </w:r>
      </w:hyperlink>
      <w:r w:rsidR="00F878D8" w:rsidRPr="00761693">
        <w:rPr>
          <w:lang w:val="en-SG"/>
        </w:rPr>
        <w:t xml:space="preserve">) </w:t>
      </w:r>
      <w:r w:rsidR="005C107D" w:rsidRPr="00761693">
        <w:rPr>
          <w:lang w:val="en-SG"/>
        </w:rPr>
        <w:t xml:space="preserve">before the closing date of </w:t>
      </w:r>
      <w:r w:rsidR="00616693">
        <w:rPr>
          <w:b/>
          <w:bCs/>
          <w:lang w:val="en-SG"/>
        </w:rPr>
        <w:t>30</w:t>
      </w:r>
      <w:r w:rsidR="00761693">
        <w:rPr>
          <w:b/>
          <w:bCs/>
          <w:lang w:val="en-SG"/>
        </w:rPr>
        <w:t xml:space="preserve"> </w:t>
      </w:r>
      <w:r w:rsidR="00616693">
        <w:rPr>
          <w:b/>
          <w:bCs/>
          <w:lang w:val="en-SG"/>
        </w:rPr>
        <w:t>June</w:t>
      </w:r>
      <w:r w:rsidR="00761693">
        <w:rPr>
          <w:b/>
          <w:bCs/>
          <w:lang w:val="en-SG"/>
        </w:rPr>
        <w:t xml:space="preserve"> 202</w:t>
      </w:r>
      <w:r w:rsidR="00616693">
        <w:rPr>
          <w:b/>
          <w:bCs/>
          <w:lang w:val="en-SG"/>
        </w:rPr>
        <w:t>4</w:t>
      </w:r>
      <w:r w:rsidR="005C107D" w:rsidRPr="00761693">
        <w:rPr>
          <w:b/>
          <w:bCs/>
          <w:lang w:val="en-SG"/>
        </w:rPr>
        <w:t xml:space="preserve">, </w:t>
      </w:r>
      <w:r w:rsidR="00616693">
        <w:rPr>
          <w:b/>
          <w:bCs/>
          <w:lang w:val="en-SG"/>
        </w:rPr>
        <w:t>Sun</w:t>
      </w:r>
      <w:r w:rsidR="00761693">
        <w:rPr>
          <w:b/>
          <w:bCs/>
          <w:lang w:val="en-SG"/>
        </w:rPr>
        <w:t>day</w:t>
      </w:r>
      <w:r w:rsidR="005C107D" w:rsidRPr="00761693">
        <w:rPr>
          <w:lang w:val="en-SG"/>
        </w:rPr>
        <w:t>.</w:t>
      </w:r>
      <w:r w:rsidR="004801E1" w:rsidRPr="00761693">
        <w:rPr>
          <w:lang w:val="en-SG"/>
        </w:rPr>
        <w:t xml:space="preserve"> The bid will then be assessed by the APHN council.</w:t>
      </w:r>
    </w:p>
    <w:p w14:paraId="1B36C0AC" w14:textId="08B71AD6" w:rsidR="004A6E1A" w:rsidRPr="00761693" w:rsidRDefault="004A6E1A">
      <w:pPr>
        <w:rPr>
          <w:lang w:val="en-SG"/>
        </w:rPr>
      </w:pPr>
    </w:p>
    <w:p w14:paraId="7F1E516C" w14:textId="0453BD60" w:rsidR="005C107D" w:rsidRPr="00761693" w:rsidRDefault="004801E1">
      <w:pPr>
        <w:rPr>
          <w:u w:val="single"/>
          <w:lang w:val="en-SG"/>
        </w:rPr>
      </w:pPr>
      <w:r w:rsidRPr="00761693">
        <w:rPr>
          <w:u w:val="single"/>
          <w:lang w:val="en-SG"/>
        </w:rPr>
        <w:t>Application Requirements</w:t>
      </w:r>
    </w:p>
    <w:p w14:paraId="1B94C7BF" w14:textId="35BFA2E2" w:rsidR="004801E1" w:rsidRPr="00761693" w:rsidRDefault="004801E1">
      <w:pPr>
        <w:rPr>
          <w:lang w:val="en-SG"/>
        </w:rPr>
      </w:pPr>
    </w:p>
    <w:p w14:paraId="13D8904C" w14:textId="0CBBBEE7" w:rsidR="004801E1" w:rsidRPr="00761693" w:rsidRDefault="00AC2F0E">
      <w:pPr>
        <w:rPr>
          <w:lang w:val="en-SG"/>
        </w:rPr>
      </w:pPr>
      <w:r w:rsidRPr="00761693">
        <w:rPr>
          <w:lang w:val="en-SG"/>
        </w:rPr>
        <w:t>The bidding application should demonstrate</w:t>
      </w:r>
      <w:r w:rsidR="006B552B" w:rsidRPr="00761693">
        <w:rPr>
          <w:lang w:val="en-SG"/>
        </w:rPr>
        <w:t xml:space="preserve"> the capabilities of the organisational member to hold the conference, including any support from the Government</w:t>
      </w:r>
      <w:r w:rsidR="00F12564" w:rsidRPr="00761693">
        <w:rPr>
          <w:lang w:val="en-SG"/>
        </w:rPr>
        <w:t>, stakeholders in Palliative Care</w:t>
      </w:r>
      <w:r w:rsidR="006B552B" w:rsidRPr="00761693">
        <w:rPr>
          <w:lang w:val="en-SG"/>
        </w:rPr>
        <w:t xml:space="preserve"> and </w:t>
      </w:r>
      <w:r w:rsidR="00F12564" w:rsidRPr="00761693">
        <w:rPr>
          <w:lang w:val="en-SG"/>
        </w:rPr>
        <w:t xml:space="preserve">any </w:t>
      </w:r>
      <w:r w:rsidR="006B552B" w:rsidRPr="00761693">
        <w:rPr>
          <w:lang w:val="en-SG"/>
        </w:rPr>
        <w:t xml:space="preserve">other organisations that might be of importance for the </w:t>
      </w:r>
      <w:r w:rsidR="00F12564" w:rsidRPr="00761693">
        <w:rPr>
          <w:lang w:val="en-SG"/>
        </w:rPr>
        <w:t>conference (</w:t>
      </w:r>
      <w:r w:rsidR="00761693" w:rsidRPr="00761693">
        <w:rPr>
          <w:lang w:val="en-SG"/>
        </w:rPr>
        <w:t>E.g.,</w:t>
      </w:r>
      <w:r w:rsidR="00F12564" w:rsidRPr="00761693">
        <w:rPr>
          <w:lang w:val="en-SG"/>
        </w:rPr>
        <w:t xml:space="preserve"> Tourism Agency or Bureau, etc).</w:t>
      </w:r>
    </w:p>
    <w:p w14:paraId="48A02D78" w14:textId="08FA039D" w:rsidR="004801E1" w:rsidRPr="00761693" w:rsidRDefault="004801E1">
      <w:pPr>
        <w:rPr>
          <w:lang w:val="en-SG"/>
        </w:rPr>
      </w:pPr>
    </w:p>
    <w:p w14:paraId="7A695B66" w14:textId="5A6F19A7" w:rsidR="003B60B1" w:rsidRDefault="00641F99" w:rsidP="0089437A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>General Requirements</w:t>
      </w:r>
    </w:p>
    <w:p w14:paraId="683D247B" w14:textId="77777777" w:rsidR="00B1762D" w:rsidRPr="00B1762D" w:rsidRDefault="00B1762D" w:rsidP="00B1762D">
      <w:pPr>
        <w:rPr>
          <w:lang w:val="en-SG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3B60B1" w:rsidRPr="00761693" w14:paraId="6882C51B" w14:textId="77777777" w:rsidTr="0089437A">
        <w:tc>
          <w:tcPr>
            <w:tcW w:w="2547" w:type="dxa"/>
          </w:tcPr>
          <w:p w14:paraId="4A9D19C2" w14:textId="1BC257CB" w:rsidR="003B60B1" w:rsidRPr="00761693" w:rsidRDefault="00641F99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Number of delegates</w:t>
            </w:r>
            <w:r w:rsidR="0092431C" w:rsidRPr="00761693">
              <w:rPr>
                <w:lang w:val="en-SG"/>
              </w:rPr>
              <w:t>:</w:t>
            </w:r>
          </w:p>
        </w:tc>
        <w:tc>
          <w:tcPr>
            <w:tcW w:w="6520" w:type="dxa"/>
          </w:tcPr>
          <w:p w14:paraId="07F1F64E" w14:textId="40E7F72B" w:rsidR="003B60B1" w:rsidRPr="00761693" w:rsidRDefault="000E0D9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12</w:t>
            </w:r>
            <w:r w:rsidR="0092431C" w:rsidRPr="00761693">
              <w:rPr>
                <w:lang w:val="en-SG"/>
              </w:rPr>
              <w:t>00 – 1</w:t>
            </w:r>
            <w:r w:rsidRPr="00761693">
              <w:rPr>
                <w:lang w:val="en-SG"/>
              </w:rPr>
              <w:t>5</w:t>
            </w:r>
            <w:r w:rsidR="0092431C" w:rsidRPr="00761693">
              <w:rPr>
                <w:lang w:val="en-SG"/>
              </w:rPr>
              <w:t>00</w:t>
            </w:r>
          </w:p>
        </w:tc>
      </w:tr>
      <w:tr w:rsidR="003B60B1" w:rsidRPr="00761693" w14:paraId="17B34DA9" w14:textId="77777777" w:rsidTr="0089437A">
        <w:tc>
          <w:tcPr>
            <w:tcW w:w="2547" w:type="dxa"/>
          </w:tcPr>
          <w:p w14:paraId="7BD0948A" w14:textId="031D2201" w:rsidR="003B60B1" w:rsidRPr="00761693" w:rsidRDefault="0092431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Duration of conference:</w:t>
            </w:r>
          </w:p>
        </w:tc>
        <w:tc>
          <w:tcPr>
            <w:tcW w:w="6520" w:type="dxa"/>
          </w:tcPr>
          <w:p w14:paraId="0BDF7C61" w14:textId="10E0477C" w:rsidR="003B60B1" w:rsidRPr="00761693" w:rsidRDefault="0092431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4 days (Tuesday to Friday)</w:t>
            </w:r>
          </w:p>
        </w:tc>
      </w:tr>
      <w:tr w:rsidR="00641F99" w:rsidRPr="00761693" w14:paraId="0996B085" w14:textId="77777777" w:rsidTr="0089437A">
        <w:tc>
          <w:tcPr>
            <w:tcW w:w="2547" w:type="dxa"/>
          </w:tcPr>
          <w:p w14:paraId="74E29BF3" w14:textId="77D1848B" w:rsidR="00641F99" w:rsidRPr="00761693" w:rsidRDefault="0092431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Period:</w:t>
            </w:r>
          </w:p>
        </w:tc>
        <w:tc>
          <w:tcPr>
            <w:tcW w:w="6520" w:type="dxa"/>
          </w:tcPr>
          <w:p w14:paraId="3485BC54" w14:textId="0CEFE3BD" w:rsidR="00641F99" w:rsidRPr="00761693" w:rsidRDefault="0092431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 xml:space="preserve">April </w:t>
            </w:r>
            <w:r w:rsidR="00711EC9">
              <w:rPr>
                <w:lang w:val="en-SG"/>
              </w:rPr>
              <w:t>to</w:t>
            </w:r>
            <w:r w:rsidRPr="00761693">
              <w:rPr>
                <w:lang w:val="en-SG"/>
              </w:rPr>
              <w:t xml:space="preserve"> June</w:t>
            </w:r>
          </w:p>
        </w:tc>
      </w:tr>
      <w:tr w:rsidR="0092431C" w:rsidRPr="00761693" w14:paraId="7CCF032C" w14:textId="77777777" w:rsidTr="0089437A">
        <w:tc>
          <w:tcPr>
            <w:tcW w:w="2547" w:type="dxa"/>
          </w:tcPr>
          <w:p w14:paraId="1F6D05EB" w14:textId="0E861FA0" w:rsidR="0092431C" w:rsidRPr="00761693" w:rsidRDefault="0092431C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>Structure:</w:t>
            </w:r>
          </w:p>
        </w:tc>
        <w:tc>
          <w:tcPr>
            <w:tcW w:w="6520" w:type="dxa"/>
          </w:tcPr>
          <w:p w14:paraId="0423CAD6" w14:textId="77777777" w:rsidR="00453591" w:rsidRPr="00761693" w:rsidRDefault="0092431C" w:rsidP="004B5E44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Pre-conference and main conference</w:t>
            </w:r>
          </w:p>
          <w:p w14:paraId="3488BD32" w14:textId="684041A8" w:rsidR="0092431C" w:rsidRPr="00761693" w:rsidRDefault="0092431C" w:rsidP="004B5E44">
            <w:pPr>
              <w:pStyle w:val="ListParagraph"/>
              <w:numPr>
                <w:ilvl w:val="0"/>
                <w:numId w:val="15"/>
              </w:numPr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Plenary, concurrent and poster presentations</w:t>
            </w:r>
          </w:p>
        </w:tc>
      </w:tr>
      <w:tr w:rsidR="0092431C" w:rsidRPr="00761693" w14:paraId="1452432A" w14:textId="77777777" w:rsidTr="0089437A">
        <w:tc>
          <w:tcPr>
            <w:tcW w:w="2547" w:type="dxa"/>
          </w:tcPr>
          <w:p w14:paraId="3E7BFE5F" w14:textId="3918446E" w:rsidR="0092431C" w:rsidRPr="00761693" w:rsidRDefault="002767AD" w:rsidP="004B5E44">
            <w:pPr>
              <w:rPr>
                <w:lang w:val="en-SG"/>
              </w:rPr>
            </w:pPr>
            <w:r w:rsidRPr="00761693">
              <w:rPr>
                <w:lang w:val="en-SG"/>
              </w:rPr>
              <w:t xml:space="preserve">Official </w:t>
            </w:r>
            <w:r w:rsidR="0092431C" w:rsidRPr="00761693">
              <w:rPr>
                <w:lang w:val="en-SG"/>
              </w:rPr>
              <w:t>Language:</w:t>
            </w:r>
          </w:p>
        </w:tc>
        <w:tc>
          <w:tcPr>
            <w:tcW w:w="6520" w:type="dxa"/>
          </w:tcPr>
          <w:p w14:paraId="363AD402" w14:textId="1D91492D" w:rsidR="0092431C" w:rsidRPr="00761693" w:rsidRDefault="0092431C" w:rsidP="004B5E44">
            <w:pPr>
              <w:pStyle w:val="ListParagraph"/>
              <w:numPr>
                <w:ilvl w:val="0"/>
                <w:numId w:val="14"/>
              </w:numPr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English</w:t>
            </w:r>
          </w:p>
          <w:p w14:paraId="35DA5742" w14:textId="076DCCBB" w:rsidR="0092431C" w:rsidRPr="00761693" w:rsidRDefault="002767AD" w:rsidP="004B5E44">
            <w:pPr>
              <w:pStyle w:val="ListParagraph"/>
              <w:numPr>
                <w:ilvl w:val="0"/>
                <w:numId w:val="14"/>
              </w:numPr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Translations may be offered to the language of the host’s country</w:t>
            </w:r>
          </w:p>
        </w:tc>
      </w:tr>
    </w:tbl>
    <w:p w14:paraId="31E63D0F" w14:textId="225E46FF" w:rsidR="00385CAC" w:rsidRPr="00761693" w:rsidRDefault="00385CAC">
      <w:pPr>
        <w:rPr>
          <w:b/>
          <w:bCs/>
          <w:lang w:val="en-SG"/>
        </w:rPr>
      </w:pPr>
    </w:p>
    <w:p w14:paraId="15D67809" w14:textId="60712B5A" w:rsidR="003B60B1" w:rsidRDefault="00C72173" w:rsidP="00C72173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>Conference Venue</w:t>
      </w:r>
    </w:p>
    <w:p w14:paraId="3514AA19" w14:textId="77777777" w:rsidR="00B1762D" w:rsidRPr="00B1762D" w:rsidRDefault="00B1762D" w:rsidP="00B1762D">
      <w:pPr>
        <w:rPr>
          <w:lang w:val="en-SG"/>
        </w:rPr>
      </w:pPr>
    </w:p>
    <w:p w14:paraId="09FC5A12" w14:textId="4B8103AC" w:rsidR="003B60B1" w:rsidRPr="00761693" w:rsidRDefault="00C72173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 xml:space="preserve">Main hall capacity for at least </w:t>
      </w:r>
      <w:r w:rsidR="00813092" w:rsidRPr="00761693">
        <w:rPr>
          <w:lang w:val="en-SG"/>
        </w:rPr>
        <w:t>15</w:t>
      </w:r>
      <w:r w:rsidRPr="00761693">
        <w:rPr>
          <w:lang w:val="en-SG"/>
        </w:rPr>
        <w:t>00 people</w:t>
      </w:r>
    </w:p>
    <w:p w14:paraId="7D66201C" w14:textId="7370C655" w:rsidR="00C72173" w:rsidRPr="00761693" w:rsidRDefault="00813092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A few</w:t>
      </w:r>
      <w:r w:rsidR="00D81A1D" w:rsidRPr="00761693">
        <w:rPr>
          <w:lang w:val="en-SG"/>
        </w:rPr>
        <w:t xml:space="preserve"> smaller halls for at least 100 people</w:t>
      </w:r>
    </w:p>
    <w:p w14:paraId="17BA54C6" w14:textId="64570A4A" w:rsidR="00D81A1D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Three meeting rooms for 20-50 people</w:t>
      </w:r>
    </w:p>
    <w:p w14:paraId="7A329E08" w14:textId="0A14D564" w:rsidR="00D81A1D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All rooms to be equipped with audio-visual equipment</w:t>
      </w:r>
    </w:p>
    <w:p w14:paraId="7A90BC22" w14:textId="255E57C9" w:rsidR="00C72173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Wireless internet connection must be available</w:t>
      </w:r>
    </w:p>
    <w:p w14:paraId="34051D71" w14:textId="77777777" w:rsidR="00616693" w:rsidRPr="00761693" w:rsidRDefault="00616693">
      <w:pPr>
        <w:rPr>
          <w:lang w:val="en-SG"/>
        </w:rPr>
      </w:pPr>
    </w:p>
    <w:p w14:paraId="2D2D01B8" w14:textId="7FDD9EF8" w:rsidR="00D81A1D" w:rsidRPr="00761693" w:rsidRDefault="004D45EB" w:rsidP="00D81A1D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 xml:space="preserve">Travel Accessibility &amp; </w:t>
      </w:r>
      <w:r w:rsidR="00D81A1D" w:rsidRPr="00761693">
        <w:rPr>
          <w:b/>
          <w:bCs/>
          <w:lang w:val="en-SG"/>
        </w:rPr>
        <w:t>Hotel Accommodation</w:t>
      </w:r>
    </w:p>
    <w:p w14:paraId="62A6A7A3" w14:textId="77777777" w:rsidR="00B1762D" w:rsidRDefault="00B1762D" w:rsidP="008C28C2"/>
    <w:p w14:paraId="0193500F" w14:textId="5A8CB272" w:rsidR="00D81A1D" w:rsidRPr="00761693" w:rsidRDefault="00D81A1D" w:rsidP="008C28C2">
      <w:r w:rsidRPr="00761693">
        <w:t xml:space="preserve">The </w:t>
      </w:r>
      <w:r w:rsidR="0088711B" w:rsidRPr="00761693">
        <w:t xml:space="preserve">chosen </w:t>
      </w:r>
      <w:r w:rsidRPr="00761693">
        <w:t xml:space="preserve">conference venue </w:t>
      </w:r>
      <w:r w:rsidR="004D45EB" w:rsidRPr="00761693">
        <w:t xml:space="preserve">should be served by an international airport with accessible connections. There </w:t>
      </w:r>
      <w:r w:rsidRPr="00761693">
        <w:t xml:space="preserve">should </w:t>
      </w:r>
      <w:r w:rsidR="004D45EB" w:rsidRPr="00761693">
        <w:t xml:space="preserve">also be </w:t>
      </w:r>
      <w:r w:rsidRPr="00761693">
        <w:t>sufficient and accessible hotel rooms at reasonable distance for the delegates with</w:t>
      </w:r>
      <w:r w:rsidR="0088711B" w:rsidRPr="00761693">
        <w:t xml:space="preserve"> options of</w:t>
      </w:r>
      <w:r w:rsidRPr="00761693">
        <w:t xml:space="preserve"> different </w:t>
      </w:r>
      <w:r w:rsidR="008C77B6" w:rsidRPr="00761693">
        <w:t xml:space="preserve">hotel </w:t>
      </w:r>
      <w:r w:rsidR="0088711B" w:rsidRPr="00761693">
        <w:t>price tiers</w:t>
      </w:r>
      <w:r w:rsidR="008C77B6" w:rsidRPr="00761693">
        <w:t>.</w:t>
      </w:r>
    </w:p>
    <w:p w14:paraId="4F3594AE" w14:textId="0D711073" w:rsidR="003C054E" w:rsidRDefault="003C054E" w:rsidP="008C28C2"/>
    <w:p w14:paraId="0B421A9D" w14:textId="0203C039" w:rsidR="00B1762D" w:rsidRDefault="00B1762D">
      <w:r>
        <w:br w:type="page"/>
      </w:r>
    </w:p>
    <w:p w14:paraId="64F1ED3F" w14:textId="77777777" w:rsidR="00B1762D" w:rsidRPr="00761693" w:rsidRDefault="00B1762D" w:rsidP="008C28C2"/>
    <w:p w14:paraId="4590CAA4" w14:textId="1411D772" w:rsidR="008C77B6" w:rsidRPr="00761693" w:rsidRDefault="008C77B6" w:rsidP="008C77B6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Exhibition</w:t>
      </w:r>
    </w:p>
    <w:p w14:paraId="1B1648EB" w14:textId="77777777" w:rsidR="00B1762D" w:rsidRDefault="00B1762D" w:rsidP="008C28C2"/>
    <w:p w14:paraId="0193DB25" w14:textId="2E7A0B75" w:rsidR="00F43511" w:rsidRPr="00761693" w:rsidRDefault="00D14AEF" w:rsidP="008C28C2">
      <w:r w:rsidRPr="00761693">
        <w:t xml:space="preserve">The conference shall have exhibition space for conference booths for </w:t>
      </w:r>
      <w:r w:rsidR="008155DA" w:rsidRPr="00761693">
        <w:t xml:space="preserve">industry organisations, sponsors, non-profit organisations, etc. Charges for the exhibition booth differ according to the </w:t>
      </w:r>
      <w:r w:rsidR="00F43511" w:rsidRPr="00761693">
        <w:t>type of organisation and agreed in advance by the Organising Committee. The Local Organising Committee is expected to liaise with industry sponsors and help to secure sponsors.</w:t>
      </w:r>
    </w:p>
    <w:p w14:paraId="6DC824B3" w14:textId="3234EA31" w:rsidR="00F43511" w:rsidRDefault="00F43511" w:rsidP="008C28C2"/>
    <w:p w14:paraId="52861FC0" w14:textId="04E8BF64" w:rsidR="007F3891" w:rsidRPr="00761693" w:rsidRDefault="007F3891" w:rsidP="007F3891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>
        <w:rPr>
          <w:b/>
          <w:bCs/>
        </w:rPr>
        <w:t xml:space="preserve">Social </w:t>
      </w:r>
      <w:r w:rsidR="004B5E44">
        <w:rPr>
          <w:b/>
          <w:bCs/>
        </w:rPr>
        <w:t xml:space="preserve">Activities &amp; </w:t>
      </w:r>
      <w:r>
        <w:rPr>
          <w:b/>
          <w:bCs/>
        </w:rPr>
        <w:t>Programmes</w:t>
      </w:r>
    </w:p>
    <w:p w14:paraId="76656E7C" w14:textId="77777777" w:rsidR="00B1762D" w:rsidRDefault="00B1762D" w:rsidP="007F3891"/>
    <w:p w14:paraId="7E7CEBE0" w14:textId="30277FFA" w:rsidR="007F3891" w:rsidRPr="00761693" w:rsidRDefault="004B5E44" w:rsidP="007F3891">
      <w:r>
        <w:t xml:space="preserve">In addition to the scientific </w:t>
      </w:r>
      <w:r w:rsidR="0079054B">
        <w:t>elements</w:t>
      </w:r>
      <w:r>
        <w:t xml:space="preserve">, </w:t>
      </w:r>
      <w:r w:rsidR="0079054B">
        <w:t>the conference should also include a few social activities. These activities include a gala dinner with a taste of local culture, hospice visits, small-scaled cultural activities, etc</w:t>
      </w:r>
      <w:r w:rsidR="007F3891" w:rsidRPr="00761693">
        <w:t>.</w:t>
      </w:r>
      <w:r w:rsidR="0079054B">
        <w:t xml:space="preserve"> Opportunities for tourism activities would also enhance the attractiveness.</w:t>
      </w:r>
    </w:p>
    <w:p w14:paraId="465F567F" w14:textId="77777777" w:rsidR="007F3891" w:rsidRPr="00761693" w:rsidRDefault="007F3891" w:rsidP="008C28C2"/>
    <w:p w14:paraId="33091F1C" w14:textId="5785CFE5" w:rsidR="00F43511" w:rsidRPr="00761693" w:rsidRDefault="00F43511" w:rsidP="005F028B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Budget</w:t>
      </w:r>
    </w:p>
    <w:p w14:paraId="10FC9730" w14:textId="77777777" w:rsidR="00B1762D" w:rsidRDefault="00B1762D" w:rsidP="008C28C2"/>
    <w:p w14:paraId="4F62ECF1" w14:textId="2C4C94FE" w:rsidR="00F43511" w:rsidRPr="00761693" w:rsidRDefault="006504AC" w:rsidP="008C28C2">
      <w:r w:rsidRPr="00761693">
        <w:t xml:space="preserve">The budgeting of the conference is a huge consideration and the items in the income and expenditure must be agreed in advance. The conference must be self-financing and must not result in </w:t>
      </w:r>
      <w:r w:rsidR="000116CD" w:rsidRPr="00761693">
        <w:t>losses to APHN and the organisational member. The share of profits will be at a baseline of at least 50 : 50 and t</w:t>
      </w:r>
      <w:r w:rsidRPr="00761693">
        <w:t>h</w:t>
      </w:r>
      <w:r w:rsidR="000116CD" w:rsidRPr="00761693">
        <w:t>is</w:t>
      </w:r>
      <w:r w:rsidRPr="00761693">
        <w:t xml:space="preserve"> budget will be closely monitored by the Organising Committee</w:t>
      </w:r>
      <w:r w:rsidR="000116CD" w:rsidRPr="00761693">
        <w:t xml:space="preserve"> from beginning to end.</w:t>
      </w:r>
      <w:r w:rsidR="00AD6C55" w:rsidRPr="00761693">
        <w:t xml:space="preserve"> At the end of the conference, the accounts must </w:t>
      </w:r>
      <w:r w:rsidR="005F028B" w:rsidRPr="00761693">
        <w:t>be audited by external certified auditors.</w:t>
      </w:r>
    </w:p>
    <w:p w14:paraId="312EF83C" w14:textId="1FA2299C" w:rsidR="00F43511" w:rsidRPr="00761693" w:rsidRDefault="00F43511" w:rsidP="008C28C2"/>
    <w:p w14:paraId="2B2318D9" w14:textId="107E5253" w:rsidR="000116CD" w:rsidRPr="00761693" w:rsidRDefault="000116CD" w:rsidP="00C953ED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Organisation Structure</w:t>
      </w:r>
    </w:p>
    <w:p w14:paraId="613D1819" w14:textId="77777777" w:rsidR="00B1762D" w:rsidRDefault="00B1762D" w:rsidP="008C28C2"/>
    <w:p w14:paraId="6160A9C1" w14:textId="4540C7C8" w:rsidR="000116CD" w:rsidRPr="00761693" w:rsidRDefault="000116CD" w:rsidP="008C28C2">
      <w:r w:rsidRPr="00761693">
        <w:t>The organisation of the conference is the responsibility of</w:t>
      </w:r>
      <w:r w:rsidR="00EE42FF" w:rsidRPr="00761693">
        <w:t xml:space="preserve"> the Core Group consisting of</w:t>
      </w:r>
      <w:r w:rsidRPr="00761693">
        <w:t>:</w:t>
      </w:r>
    </w:p>
    <w:p w14:paraId="55D73044" w14:textId="48993731" w:rsidR="000116CD" w:rsidRPr="00761693" w:rsidRDefault="000116CD" w:rsidP="00EE42FF">
      <w:pPr>
        <w:pStyle w:val="ListParagraph"/>
        <w:numPr>
          <w:ilvl w:val="0"/>
          <w:numId w:val="18"/>
        </w:numPr>
      </w:pPr>
      <w:r w:rsidRPr="00761693">
        <w:t>Organising Committee (OC)</w:t>
      </w:r>
    </w:p>
    <w:p w14:paraId="00FABBA6" w14:textId="38E72F7D" w:rsidR="000116CD" w:rsidRPr="00761693" w:rsidRDefault="000116CD" w:rsidP="00EE42FF">
      <w:pPr>
        <w:pStyle w:val="ListParagraph"/>
        <w:numPr>
          <w:ilvl w:val="0"/>
          <w:numId w:val="18"/>
        </w:numPr>
      </w:pPr>
      <w:r w:rsidRPr="00761693">
        <w:t>Local Organising Committee (LOC)</w:t>
      </w:r>
    </w:p>
    <w:p w14:paraId="07291328" w14:textId="77777777" w:rsidR="00EE42FF" w:rsidRPr="00761693" w:rsidRDefault="00EE42FF" w:rsidP="00EE42FF">
      <w:pPr>
        <w:pStyle w:val="ListParagraph"/>
        <w:numPr>
          <w:ilvl w:val="0"/>
          <w:numId w:val="18"/>
        </w:numPr>
      </w:pPr>
      <w:r w:rsidRPr="00761693">
        <w:t>Professional Conference Organiser (PCO)</w:t>
      </w:r>
    </w:p>
    <w:p w14:paraId="18159C57" w14:textId="63744B85" w:rsidR="000116CD" w:rsidRPr="00761693" w:rsidRDefault="00EE42FF" w:rsidP="00EE42FF">
      <w:pPr>
        <w:pStyle w:val="ListParagraph"/>
        <w:numPr>
          <w:ilvl w:val="0"/>
          <w:numId w:val="18"/>
        </w:numPr>
      </w:pPr>
      <w:r w:rsidRPr="00761693">
        <w:t>APHN Secretariat</w:t>
      </w:r>
    </w:p>
    <w:p w14:paraId="7F8211A4" w14:textId="17AD65D8" w:rsidR="00B62949" w:rsidRPr="00761693" w:rsidRDefault="00B62949" w:rsidP="00EE42FF">
      <w:pPr>
        <w:pStyle w:val="ListParagraph"/>
        <w:numPr>
          <w:ilvl w:val="0"/>
          <w:numId w:val="18"/>
        </w:numPr>
      </w:pPr>
      <w:r w:rsidRPr="00761693">
        <w:t>Local Secretariat</w:t>
      </w:r>
    </w:p>
    <w:p w14:paraId="2FBA2BA5" w14:textId="77777777" w:rsidR="00EE42FF" w:rsidRPr="00761693" w:rsidRDefault="00EE42FF" w:rsidP="008C28C2"/>
    <w:p w14:paraId="44AE2439" w14:textId="6B494D67" w:rsidR="008C77B6" w:rsidRPr="00761693" w:rsidRDefault="00EE42FF" w:rsidP="008C28C2">
      <w:r w:rsidRPr="00761693">
        <w:t>Sub committees may be formed to execute the micro tasks for the conference.</w:t>
      </w:r>
    </w:p>
    <w:p w14:paraId="7558A3B2" w14:textId="762B470D" w:rsidR="008C77B6" w:rsidRPr="00761693" w:rsidRDefault="008C77B6" w:rsidP="008C28C2"/>
    <w:p w14:paraId="7551A772" w14:textId="60066E4D" w:rsidR="00EE42FF" w:rsidRPr="00761693" w:rsidRDefault="005F028B" w:rsidP="00C953ED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Assessment</w:t>
      </w:r>
    </w:p>
    <w:p w14:paraId="468AB076" w14:textId="77777777" w:rsidR="00B1762D" w:rsidRDefault="00B1762D" w:rsidP="00C953ED"/>
    <w:p w14:paraId="208B622C" w14:textId="7FD26C1E" w:rsidR="00332708" w:rsidRPr="00761693" w:rsidRDefault="00C953ED" w:rsidP="00C953ED">
      <w:r w:rsidRPr="00761693">
        <w:t xml:space="preserve">The bids received will be shortlisted and the shortlisted candidates will be invited to make a short presentation </w:t>
      </w:r>
      <w:r w:rsidR="007F3891">
        <w:t xml:space="preserve">in a meeting </w:t>
      </w:r>
      <w:r w:rsidRPr="00761693">
        <w:t xml:space="preserve">before the APHN council. The </w:t>
      </w:r>
      <w:r w:rsidR="007F3891">
        <w:t>evaluation and announcement of the selected host will be completed in that same</w:t>
      </w:r>
      <w:r w:rsidRPr="00761693">
        <w:t xml:space="preserve"> meeting. The decision will be final and binding.</w:t>
      </w:r>
    </w:p>
    <w:sectPr w:rsidR="00332708" w:rsidRPr="007616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3213" w14:textId="77777777" w:rsidR="00F92046" w:rsidRDefault="00F92046" w:rsidP="00994351">
      <w:r>
        <w:separator/>
      </w:r>
    </w:p>
  </w:endnote>
  <w:endnote w:type="continuationSeparator" w:id="0">
    <w:p w14:paraId="1BC8A67E" w14:textId="77777777" w:rsidR="00F92046" w:rsidRDefault="00F92046" w:rsidP="009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33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A6DA9" w14:textId="77777777" w:rsidR="00994351" w:rsidRDefault="00994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DBE4A" w14:textId="77777777" w:rsidR="00994351" w:rsidRDefault="0099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718F" w14:textId="77777777" w:rsidR="00F92046" w:rsidRDefault="00F92046" w:rsidP="00994351">
      <w:r>
        <w:separator/>
      </w:r>
    </w:p>
  </w:footnote>
  <w:footnote w:type="continuationSeparator" w:id="0">
    <w:p w14:paraId="37FBCEE6" w14:textId="77777777" w:rsidR="00F92046" w:rsidRDefault="00F92046" w:rsidP="009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B9EF" w14:textId="77777777" w:rsidR="00994351" w:rsidRDefault="00994351" w:rsidP="0099435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29BC548" wp14:editId="4CEC1C91">
          <wp:simplePos x="0" y="0"/>
          <wp:positionH relativeFrom="column">
            <wp:posOffset>-6350</wp:posOffset>
          </wp:positionH>
          <wp:positionV relativeFrom="paragraph">
            <wp:posOffset>-55880</wp:posOffset>
          </wp:positionV>
          <wp:extent cx="774700" cy="771525"/>
          <wp:effectExtent l="0" t="0" r="6350" b="9525"/>
          <wp:wrapNone/>
          <wp:docPr id="7" name="Picture 7" descr="Aphn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hn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0D679" wp14:editId="360093BC">
              <wp:simplePos x="0" y="0"/>
              <wp:positionH relativeFrom="column">
                <wp:posOffset>1080770</wp:posOffset>
              </wp:positionH>
              <wp:positionV relativeFrom="paragraph">
                <wp:posOffset>87630</wp:posOffset>
              </wp:positionV>
              <wp:extent cx="4415790" cy="24066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50264" w14:textId="77777777" w:rsidR="00994351" w:rsidRPr="00271E4E" w:rsidRDefault="00994351" w:rsidP="00994351">
                          <w:pPr>
                            <w:jc w:val="center"/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</w:pPr>
                          <w:r w:rsidRPr="00271E4E"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  <w:t>ASIA PACIFIC HOSPICE PALLIATIVE CARE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0D6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1pt;margin-top:6.9pt;width:347.7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" filled="f" stroked="f">
              <v:textbox style="mso-fit-shape-to-text:t">
                <w:txbxContent>
                  <w:p w14:paraId="4E350264" w14:textId="77777777" w:rsidR="00994351" w:rsidRPr="00271E4E" w:rsidRDefault="00994351" w:rsidP="00994351">
                    <w:pPr>
                      <w:jc w:val="center"/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</w:pPr>
                    <w:r w:rsidRPr="00271E4E"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  <w:t>ASIA PACIFIC HOSPICE PALLIATIVE CARE NETWORK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305A7A" wp14:editId="0D0BE998">
              <wp:simplePos x="0" y="0"/>
              <wp:positionH relativeFrom="column">
                <wp:posOffset>1128395</wp:posOffset>
              </wp:positionH>
              <wp:positionV relativeFrom="paragraph">
                <wp:posOffset>314324</wp:posOffset>
              </wp:positionV>
              <wp:extent cx="4319905" cy="0"/>
              <wp:effectExtent l="0" t="0" r="2349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D81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8.85pt;margin-top:24.75pt;width:34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" strokecolor="#5a5a5a" strokeweight=".5pt"/>
          </w:pict>
        </mc:Fallback>
      </mc:AlternateContent>
    </w:r>
  </w:p>
  <w:p w14:paraId="0851C61E" w14:textId="77777777" w:rsidR="00994351" w:rsidRDefault="00994351" w:rsidP="0099435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D1595" wp14:editId="1A01B2CC">
              <wp:simplePos x="0" y="0"/>
              <wp:positionH relativeFrom="column">
                <wp:posOffset>1653540</wp:posOffset>
              </wp:positionH>
              <wp:positionV relativeFrom="paragraph">
                <wp:posOffset>120650</wp:posOffset>
              </wp:positionV>
              <wp:extent cx="3270250" cy="219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3A35" w14:textId="77777777" w:rsidR="00994351" w:rsidRPr="00271E4E" w:rsidRDefault="00994351" w:rsidP="00994351">
                          <w:pPr>
                            <w:jc w:val="center"/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</w:pPr>
                          <w:r w:rsidRPr="00271E4E"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  <w:t>Linking palliative care in Asia and the Pacific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0D1595" id="Text Box 4" o:spid="_x0000_s1027" type="#_x0000_t202" style="position:absolute;margin-left:130.2pt;margin-top:9.5pt;width:257.5pt;height:17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" filled="f" stroked="f">
              <v:textbox style="mso-fit-shape-to-text:t">
                <w:txbxContent>
                  <w:p w14:paraId="203A3A35" w14:textId="77777777" w:rsidR="00994351" w:rsidRPr="00271E4E" w:rsidRDefault="00994351" w:rsidP="00994351">
                    <w:pPr>
                      <w:jc w:val="center"/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</w:pPr>
                    <w:r w:rsidRPr="00271E4E"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  <w:t>Linking palliative care in Asia and the Pacific</w:t>
                    </w:r>
                  </w:p>
                </w:txbxContent>
              </v:textbox>
            </v:shape>
          </w:pict>
        </mc:Fallback>
      </mc:AlternateContent>
    </w:r>
  </w:p>
  <w:p w14:paraId="442A1A88" w14:textId="77777777" w:rsidR="00994351" w:rsidRDefault="00994351">
    <w:pPr>
      <w:pStyle w:val="Header"/>
    </w:pPr>
  </w:p>
  <w:p w14:paraId="1E489EA3" w14:textId="77777777" w:rsidR="00994351" w:rsidRDefault="0099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6"/>
    <w:multiLevelType w:val="hybridMultilevel"/>
    <w:tmpl w:val="31D2C622"/>
    <w:lvl w:ilvl="0" w:tplc="3D98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74513"/>
    <w:multiLevelType w:val="hybridMultilevel"/>
    <w:tmpl w:val="AED2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C34"/>
    <w:multiLevelType w:val="hybridMultilevel"/>
    <w:tmpl w:val="279E2F1A"/>
    <w:lvl w:ilvl="0" w:tplc="CA7C9D68">
      <w:start w:val="4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D21"/>
    <w:multiLevelType w:val="hybridMultilevel"/>
    <w:tmpl w:val="7B5E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45C5"/>
    <w:multiLevelType w:val="hybridMultilevel"/>
    <w:tmpl w:val="34BEA3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85CE5"/>
    <w:multiLevelType w:val="hybridMultilevel"/>
    <w:tmpl w:val="212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336"/>
    <w:multiLevelType w:val="hybridMultilevel"/>
    <w:tmpl w:val="C0D656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EDC"/>
    <w:multiLevelType w:val="hybridMultilevel"/>
    <w:tmpl w:val="3F46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03AB9"/>
    <w:multiLevelType w:val="hybridMultilevel"/>
    <w:tmpl w:val="0E3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3B4F"/>
    <w:multiLevelType w:val="hybridMultilevel"/>
    <w:tmpl w:val="F606FA0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7FF3"/>
    <w:multiLevelType w:val="hybridMultilevel"/>
    <w:tmpl w:val="9E9A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D83"/>
    <w:multiLevelType w:val="hybridMultilevel"/>
    <w:tmpl w:val="5E5A127C"/>
    <w:lvl w:ilvl="0" w:tplc="5CB4BD3C">
      <w:start w:val="4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19D3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06E0F"/>
    <w:multiLevelType w:val="hybridMultilevel"/>
    <w:tmpl w:val="2B8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E19"/>
    <w:multiLevelType w:val="hybridMultilevel"/>
    <w:tmpl w:val="FA204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F548A"/>
    <w:multiLevelType w:val="hybridMultilevel"/>
    <w:tmpl w:val="0B3C51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07BE"/>
    <w:multiLevelType w:val="hybridMultilevel"/>
    <w:tmpl w:val="E9F4F9DC"/>
    <w:lvl w:ilvl="0" w:tplc="3E50D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6667">
    <w:abstractNumId w:val="1"/>
  </w:num>
  <w:num w:numId="2" w16cid:durableId="22244549">
    <w:abstractNumId w:val="11"/>
  </w:num>
  <w:num w:numId="3" w16cid:durableId="473527060">
    <w:abstractNumId w:val="13"/>
  </w:num>
  <w:num w:numId="4" w16cid:durableId="333068818">
    <w:abstractNumId w:val="0"/>
  </w:num>
  <w:num w:numId="5" w16cid:durableId="595481118">
    <w:abstractNumId w:val="8"/>
  </w:num>
  <w:num w:numId="6" w16cid:durableId="873537827">
    <w:abstractNumId w:val="4"/>
  </w:num>
  <w:num w:numId="7" w16cid:durableId="631905726">
    <w:abstractNumId w:val="7"/>
  </w:num>
  <w:num w:numId="8" w16cid:durableId="1971469278">
    <w:abstractNumId w:val="3"/>
  </w:num>
  <w:num w:numId="9" w16cid:durableId="108861176">
    <w:abstractNumId w:val="5"/>
  </w:num>
  <w:num w:numId="10" w16cid:durableId="640693233">
    <w:abstractNumId w:val="14"/>
  </w:num>
  <w:num w:numId="11" w16cid:durableId="1231960527">
    <w:abstractNumId w:val="15"/>
  </w:num>
  <w:num w:numId="12" w16cid:durableId="1339892704">
    <w:abstractNumId w:val="10"/>
  </w:num>
  <w:num w:numId="13" w16cid:durableId="486436328">
    <w:abstractNumId w:val="9"/>
  </w:num>
  <w:num w:numId="14" w16cid:durableId="1453481802">
    <w:abstractNumId w:val="2"/>
  </w:num>
  <w:num w:numId="15" w16cid:durableId="1464352796">
    <w:abstractNumId w:val="12"/>
  </w:num>
  <w:num w:numId="16" w16cid:durableId="1379739350">
    <w:abstractNumId w:val="17"/>
  </w:num>
  <w:num w:numId="17" w16cid:durableId="877861325">
    <w:abstractNumId w:val="16"/>
  </w:num>
  <w:num w:numId="18" w16cid:durableId="1785882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sjQzMjEwALIsTJR0lIJTi4sz8/NACoxqATModgcsAAAA"/>
  </w:docVars>
  <w:rsids>
    <w:rsidRoot w:val="004C3E9D"/>
    <w:rsid w:val="000116CD"/>
    <w:rsid w:val="000261B4"/>
    <w:rsid w:val="00061125"/>
    <w:rsid w:val="00072FC6"/>
    <w:rsid w:val="000B6122"/>
    <w:rsid w:val="000D543C"/>
    <w:rsid w:val="000E0D9C"/>
    <w:rsid w:val="0018173D"/>
    <w:rsid w:val="001C4D4C"/>
    <w:rsid w:val="001D138C"/>
    <w:rsid w:val="001D7342"/>
    <w:rsid w:val="001E1716"/>
    <w:rsid w:val="001F25F5"/>
    <w:rsid w:val="00200C5F"/>
    <w:rsid w:val="0023014D"/>
    <w:rsid w:val="002767AD"/>
    <w:rsid w:val="00287CAF"/>
    <w:rsid w:val="002B6415"/>
    <w:rsid w:val="002C09F0"/>
    <w:rsid w:val="003102EE"/>
    <w:rsid w:val="00332708"/>
    <w:rsid w:val="003338C5"/>
    <w:rsid w:val="0035052C"/>
    <w:rsid w:val="003715BD"/>
    <w:rsid w:val="00385CAC"/>
    <w:rsid w:val="0039340A"/>
    <w:rsid w:val="003B60B1"/>
    <w:rsid w:val="003C054E"/>
    <w:rsid w:val="004041A3"/>
    <w:rsid w:val="00406B1A"/>
    <w:rsid w:val="00412DAB"/>
    <w:rsid w:val="004459C8"/>
    <w:rsid w:val="00450AAE"/>
    <w:rsid w:val="00453591"/>
    <w:rsid w:val="00456B3F"/>
    <w:rsid w:val="004801E1"/>
    <w:rsid w:val="004A6E1A"/>
    <w:rsid w:val="004B5E44"/>
    <w:rsid w:val="004C3E9D"/>
    <w:rsid w:val="004D45EB"/>
    <w:rsid w:val="00502753"/>
    <w:rsid w:val="00566527"/>
    <w:rsid w:val="005C107D"/>
    <w:rsid w:val="005C75D6"/>
    <w:rsid w:val="005D0978"/>
    <w:rsid w:val="005E01DC"/>
    <w:rsid w:val="005F028B"/>
    <w:rsid w:val="00616693"/>
    <w:rsid w:val="00621DF2"/>
    <w:rsid w:val="006237A1"/>
    <w:rsid w:val="006331E6"/>
    <w:rsid w:val="00641F99"/>
    <w:rsid w:val="006504AC"/>
    <w:rsid w:val="0065302B"/>
    <w:rsid w:val="00667D2C"/>
    <w:rsid w:val="006B552B"/>
    <w:rsid w:val="00711EC9"/>
    <w:rsid w:val="007456AE"/>
    <w:rsid w:val="00761693"/>
    <w:rsid w:val="0079054B"/>
    <w:rsid w:val="007941B7"/>
    <w:rsid w:val="007962E8"/>
    <w:rsid w:val="007C3A7C"/>
    <w:rsid w:val="007D2EF9"/>
    <w:rsid w:val="007E21FC"/>
    <w:rsid w:val="007F3891"/>
    <w:rsid w:val="00806497"/>
    <w:rsid w:val="00810E5B"/>
    <w:rsid w:val="00813092"/>
    <w:rsid w:val="008155DA"/>
    <w:rsid w:val="00827128"/>
    <w:rsid w:val="00851FF1"/>
    <w:rsid w:val="00863484"/>
    <w:rsid w:val="0088711B"/>
    <w:rsid w:val="00892C12"/>
    <w:rsid w:val="00893BD8"/>
    <w:rsid w:val="0089437A"/>
    <w:rsid w:val="008C28C2"/>
    <w:rsid w:val="008C77B6"/>
    <w:rsid w:val="00901EE8"/>
    <w:rsid w:val="0092431C"/>
    <w:rsid w:val="009835F8"/>
    <w:rsid w:val="009933BB"/>
    <w:rsid w:val="00994351"/>
    <w:rsid w:val="00997BA3"/>
    <w:rsid w:val="009E238F"/>
    <w:rsid w:val="009E2390"/>
    <w:rsid w:val="00A041A1"/>
    <w:rsid w:val="00A225E9"/>
    <w:rsid w:val="00A835B3"/>
    <w:rsid w:val="00AC2F0E"/>
    <w:rsid w:val="00AD3322"/>
    <w:rsid w:val="00AD6C55"/>
    <w:rsid w:val="00AE4902"/>
    <w:rsid w:val="00AF48DC"/>
    <w:rsid w:val="00B168A7"/>
    <w:rsid w:val="00B1762D"/>
    <w:rsid w:val="00B316CD"/>
    <w:rsid w:val="00B55E23"/>
    <w:rsid w:val="00B57F76"/>
    <w:rsid w:val="00B62949"/>
    <w:rsid w:val="00B909B9"/>
    <w:rsid w:val="00B9633C"/>
    <w:rsid w:val="00BC47D1"/>
    <w:rsid w:val="00BF50E6"/>
    <w:rsid w:val="00BF687C"/>
    <w:rsid w:val="00C37191"/>
    <w:rsid w:val="00C650F2"/>
    <w:rsid w:val="00C72173"/>
    <w:rsid w:val="00C953ED"/>
    <w:rsid w:val="00CB052A"/>
    <w:rsid w:val="00CE6BEC"/>
    <w:rsid w:val="00D02FC6"/>
    <w:rsid w:val="00D14AEF"/>
    <w:rsid w:val="00D30BF6"/>
    <w:rsid w:val="00D81A1D"/>
    <w:rsid w:val="00DA1040"/>
    <w:rsid w:val="00DC4DC5"/>
    <w:rsid w:val="00DD1BC5"/>
    <w:rsid w:val="00DF0718"/>
    <w:rsid w:val="00DF171E"/>
    <w:rsid w:val="00E02E58"/>
    <w:rsid w:val="00E0390D"/>
    <w:rsid w:val="00E7257D"/>
    <w:rsid w:val="00ED4A97"/>
    <w:rsid w:val="00EE17C6"/>
    <w:rsid w:val="00EE42FF"/>
    <w:rsid w:val="00EF7735"/>
    <w:rsid w:val="00F12564"/>
    <w:rsid w:val="00F43511"/>
    <w:rsid w:val="00F5765F"/>
    <w:rsid w:val="00F66AD9"/>
    <w:rsid w:val="00F878D8"/>
    <w:rsid w:val="00F92046"/>
    <w:rsid w:val="00FB23ED"/>
    <w:rsid w:val="00FB53E6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47467"/>
  <w15:docId w15:val="{E8260C68-B49C-4A6A-BFBF-AA6FC20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imSun" w:hAnsi="Segoe UI" w:cs="Segoe U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9D"/>
    <w:pPr>
      <w:ind w:left="720"/>
      <w:contextualSpacing/>
    </w:pPr>
  </w:style>
  <w:style w:type="table" w:styleId="TableGrid">
    <w:name w:val="Table Grid"/>
    <w:basedOn w:val="TableNormal"/>
    <w:uiPriority w:val="59"/>
    <w:rsid w:val="00AD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51"/>
  </w:style>
  <w:style w:type="paragraph" w:styleId="Footer">
    <w:name w:val="footer"/>
    <w:basedOn w:val="Normal"/>
    <w:link w:val="Foot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51"/>
  </w:style>
  <w:style w:type="character" w:styleId="Hyperlink">
    <w:name w:val="Hyperlink"/>
    <w:basedOn w:val="DefaultParagraphFont"/>
    <w:uiPriority w:val="99"/>
    <w:unhideWhenUsed/>
    <w:rsid w:val="00F87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5BD-28CF-4A5C-B6CA-DCF540A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APHN Secretariat</dc:creator>
  <cp:lastModifiedBy>APHN Secretariat</cp:lastModifiedBy>
  <cp:revision>26</cp:revision>
  <cp:lastPrinted>2015-02-17T09:36:00Z</cp:lastPrinted>
  <dcterms:created xsi:type="dcterms:W3CDTF">2019-11-21T08:55:00Z</dcterms:created>
  <dcterms:modified xsi:type="dcterms:W3CDTF">2024-01-05T15:49:00Z</dcterms:modified>
</cp:coreProperties>
</file>